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DD4B" w14:textId="77777777" w:rsid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</w:p>
    <w:p w14:paraId="750E5280" w14:textId="40DD1D82" w:rsid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 xml:space="preserve">Mapa de riesgos físicos por zonas de la vivienda </w:t>
      </w:r>
    </w:p>
    <w:p w14:paraId="0E32493A" w14:textId="1E796114" w:rsid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 xml:space="preserve">Geyhache.com Rentabilidad en Locales </w:t>
      </w:r>
    </w:p>
    <w:p w14:paraId="4309F6CB" w14:textId="5D4D2EEE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El sector inmobiliario en España enfrenta crecientes desafíos relacionados con los riesgos físicos a los que está expuesto el parque residencial. La publicación del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informe “Mapa de riesgos del parque de viviendas en España 2024”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por parte de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 xml:space="preserve">ST </w:t>
      </w:r>
      <w:proofErr w:type="spellStart"/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Analytics</w:t>
      </w:r>
      <w:proofErr w:type="spellEnd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ofrece una visión detallada y pionera sobre esta problemática.</w:t>
      </w:r>
    </w:p>
    <w:p w14:paraId="704DA169" w14:textId="77777777" w:rsidR="00A03EA4" w:rsidRPr="00A03EA4" w:rsidRDefault="00A03EA4" w:rsidP="00A03EA4">
      <w:pPr>
        <w:shd w:val="clear" w:color="auto" w:fill="FFFFFF"/>
        <w:spacing w:after="264" w:line="240" w:lineRule="auto"/>
        <w:outlineLvl w:val="1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>La reciente DANA en Valencia ha alertado a la población</w:t>
      </w:r>
    </w:p>
    <w:p w14:paraId="6D3626E9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Fenómenos meteorológicos extremos, como la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DANA (Depresión Aislada en Niveles Altos)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que afectó recientemente a Valencia, han puesto de manifiesto la vulnerabilidad de las viviendas en determinadas zonas del país. Este tipo de episodios subraya la importancia de contar con herramientas que permitan anticipar y mitigar los riesgos asociados a fenómenos fluviales, costeros y sísmicos.</w:t>
      </w:r>
    </w:p>
    <w:p w14:paraId="517FBCE4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En este contexto, el informe de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 xml:space="preserve">ST </w:t>
      </w:r>
      <w:proofErr w:type="spellStart"/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Analytics</w:t>
      </w:r>
      <w:proofErr w:type="spellEnd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compañía integrada en el Grupo Sociedad de Tasación, adquiere especial relevancia al identificar las provincias y municipios españoles más expuestos a estos riesgos.</w:t>
      </w:r>
    </w:p>
    <w:p w14:paraId="2C7E6799" w14:textId="77777777" w:rsidR="00A03EA4" w:rsidRPr="00A03EA4" w:rsidRDefault="00A03EA4" w:rsidP="00A03EA4">
      <w:pPr>
        <w:shd w:val="clear" w:color="auto" w:fill="FFFFFF"/>
        <w:spacing w:after="264" w:line="240" w:lineRule="auto"/>
        <w:outlineLvl w:val="1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 xml:space="preserve">El estudio de ST </w:t>
      </w:r>
      <w:proofErr w:type="spellStart"/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>Analytics</w:t>
      </w:r>
      <w:proofErr w:type="spellEnd"/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 xml:space="preserve"> ofrece análisis de riesgos a entidades financieras y de seguros</w:t>
      </w:r>
    </w:p>
    <w:p w14:paraId="08591A39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El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informe Mapa de riesgos del parque de viviendas en España 2024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 xml:space="preserve">, elaborado por ST </w:t>
      </w:r>
      <w:proofErr w:type="spellStart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Analytics</w:t>
      </w:r>
      <w:proofErr w:type="spellEnd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destaca por su enfoque innovador y su utilidad para el mercado inmobiliario, financiero y asegurador. Según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Alejandro González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 xml:space="preserve">, director general de ST </w:t>
      </w:r>
      <w:proofErr w:type="spellStart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Analytics</w:t>
      </w:r>
      <w:proofErr w:type="spellEnd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:</w:t>
      </w:r>
    </w:p>
    <w:p w14:paraId="5D4FB4AD" w14:textId="77777777" w:rsidR="00A03EA4" w:rsidRPr="00A03EA4" w:rsidRDefault="00A03EA4" w:rsidP="00A03EA4">
      <w:pPr>
        <w:shd w:val="clear" w:color="auto" w:fill="F6F6F6"/>
        <w:spacing w:line="300" w:lineRule="atLeast"/>
        <w:rPr>
          <w:rFonts w:ascii="Sarabun" w:eastAsia="Times New Roman" w:hAnsi="Sarabun" w:cs="Times New Roman"/>
          <w:i/>
          <w:iCs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i/>
          <w:iCs/>
          <w:color w:val="686868"/>
          <w:kern w:val="0"/>
          <w:sz w:val="24"/>
          <w:szCs w:val="24"/>
          <w:lang w:eastAsia="es-ES"/>
          <w14:ligatures w14:val="none"/>
        </w:rPr>
        <w:t>“Este estudio, pionero en España, identifica cuáles son las provincias y municipios con un parque residencial más condicionado a potenciales riesgos físicos, y se elabora con el objetivo de contribuir a un mejor conocimiento del mercado de la vivienda y del urbanismo en toda España, de cara a tener una herramienta de prevención ante posibles riesgos”.</w:t>
      </w:r>
    </w:p>
    <w:p w14:paraId="55D344FC" w14:textId="77777777" w:rsidR="00A03EA4" w:rsidRPr="00A03EA4" w:rsidRDefault="00A03EA4" w:rsidP="00A03EA4">
      <w:pPr>
        <w:shd w:val="clear" w:color="auto" w:fill="FFFFFF"/>
        <w:spacing w:before="240" w:after="240" w:line="240" w:lineRule="auto"/>
        <w:outlineLvl w:val="2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>La solución tecnológica detrás del informe</w:t>
      </w:r>
    </w:p>
    <w:p w14:paraId="250A6638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Este informe se basa en una solución propia desarrollada por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 xml:space="preserve">ST </w:t>
      </w:r>
      <w:proofErr w:type="spellStart"/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Analytics</w:t>
      </w:r>
      <w:proofErr w:type="spellEnd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que nació hace cuatro años para responder a las exigencias del Banco Central Europeo (BCE) en materia de sostenibilidad. Dicha herramienta permite identificar:</w:t>
      </w:r>
    </w:p>
    <w:p w14:paraId="1B0030B0" w14:textId="77777777" w:rsidR="00A03EA4" w:rsidRPr="00A03EA4" w:rsidRDefault="00A03EA4" w:rsidP="00A03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Los riesgos físicos que afectan a cada inmueble.</w:t>
      </w:r>
    </w:p>
    <w:p w14:paraId="71588835" w14:textId="77777777" w:rsidR="00A03EA4" w:rsidRPr="00A03EA4" w:rsidRDefault="00A03EA4" w:rsidP="00A03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La calificación energética de las viviendas, cumpliendo con los estándares de sostenibilidad.</w:t>
      </w:r>
    </w:p>
    <w:p w14:paraId="6C6E42E7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lastRenderedPageBreak/>
        <w:t>Además, incorpora datos de fuentes como el Ministerio para la Transición Ecológica, la Dirección General del Catastro y otras oficinas regionales, proporcionando un análisis detallado del parque residencial español.</w:t>
      </w:r>
    </w:p>
    <w:p w14:paraId="5D097640" w14:textId="77777777" w:rsidR="00A03EA4" w:rsidRPr="00A03EA4" w:rsidRDefault="00A03EA4" w:rsidP="00A03EA4">
      <w:pPr>
        <w:shd w:val="clear" w:color="auto" w:fill="FFFFFF"/>
        <w:spacing w:after="264" w:line="240" w:lineRule="auto"/>
        <w:outlineLvl w:val="1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>El informe contempla la información de los 25,8 millones de viviendas que hay en España</w:t>
      </w:r>
    </w:p>
    <w:p w14:paraId="4F0A6977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A octubre de 2024, el parque residencial en España suma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25,8 millones de viviendas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de las cuales el informe detalla que:</w:t>
      </w:r>
    </w:p>
    <w:p w14:paraId="5D7CC981" w14:textId="77777777" w:rsidR="00A03EA4" w:rsidRPr="00A03EA4" w:rsidRDefault="00A03EA4" w:rsidP="00A03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2,3 millones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están en riesgo de inundación fluvial.</w:t>
      </w:r>
    </w:p>
    <w:p w14:paraId="174B3A73" w14:textId="77777777" w:rsidR="00A03EA4" w:rsidRPr="00A03EA4" w:rsidRDefault="00A03EA4" w:rsidP="00A03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Más de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5 millones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presentan un riesgo sísmico «muy alto».</w:t>
      </w:r>
    </w:p>
    <w:p w14:paraId="3C0E066C" w14:textId="77777777" w:rsidR="00A03EA4" w:rsidRPr="00A03EA4" w:rsidRDefault="00A03EA4" w:rsidP="00A03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Más de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330.000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se encuentran en zonas de riesgo costero.</w:t>
      </w:r>
    </w:p>
    <w:p w14:paraId="0119435E" w14:textId="77777777" w:rsidR="00A03EA4" w:rsidRPr="00A03EA4" w:rsidRDefault="00A03EA4" w:rsidP="00A03EA4">
      <w:pPr>
        <w:shd w:val="clear" w:color="auto" w:fill="FFFFFF"/>
        <w:spacing w:before="240" w:after="240" w:line="240" w:lineRule="auto"/>
        <w:outlineLvl w:val="2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>Provincias con mayor exposición a riesgos fluviales</w:t>
      </w:r>
    </w:p>
    <w:p w14:paraId="413A105D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El informe concluye que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Valladolid, Murcia, Sevilla y Girona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son las provincias con un mayor porcentaje de viviendas expuestas a inundaciones fluviales. Esta información resulta clave tanto para entidades financieras y aseguradoras como para los propios compradores e inversores.</w:t>
      </w:r>
    </w:p>
    <w:p w14:paraId="6B92A7DC" w14:textId="77777777" w:rsidR="00A03EA4" w:rsidRPr="00A03EA4" w:rsidRDefault="00A03EA4" w:rsidP="00A03EA4">
      <w:pPr>
        <w:shd w:val="clear" w:color="auto" w:fill="FFFFFF"/>
        <w:spacing w:before="240" w:after="240" w:line="240" w:lineRule="auto"/>
        <w:outlineLvl w:val="2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>Los riesgos que se contemplan son los fluviales, los costeros y los sísmicos</w:t>
      </w:r>
    </w:p>
    <w:p w14:paraId="743E93B0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El análisis abarca tres tipos de riesgos principales:</w:t>
      </w:r>
    </w:p>
    <w:p w14:paraId="1FB4AF04" w14:textId="77777777" w:rsidR="00A03EA4" w:rsidRPr="00A03EA4" w:rsidRDefault="00A03EA4" w:rsidP="00A03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Riesgo fluvial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: Inundaciones en zonas próximas a ríos.</w:t>
      </w:r>
    </w:p>
    <w:p w14:paraId="71AAEB77" w14:textId="77777777" w:rsidR="00A03EA4" w:rsidRPr="00A03EA4" w:rsidRDefault="00A03EA4" w:rsidP="00A03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Riesgo costero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: Viviendas en áreas afectadas por subidas del nivel del mar o temporales marítimos.</w:t>
      </w:r>
    </w:p>
    <w:p w14:paraId="45182B37" w14:textId="77777777" w:rsidR="00A03EA4" w:rsidRPr="00A03EA4" w:rsidRDefault="00A03EA4" w:rsidP="00A03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Riesgo sísmico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: Inmuebles ubicados en zonas con alta actividad tectónica.</w:t>
      </w:r>
    </w:p>
    <w:p w14:paraId="4B3EC7E7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El informe no solo identifica las zonas de mayor riesgo, sino que también ofrece herramientas para planificar de manera sostenible el desarrollo urbano y proteger tanto a los propietarios como a las entidades financieras.</w:t>
      </w:r>
    </w:p>
    <w:p w14:paraId="4287CA7A" w14:textId="77777777" w:rsidR="00A03EA4" w:rsidRPr="00A03EA4" w:rsidRDefault="00A03EA4" w:rsidP="00A03EA4">
      <w:pPr>
        <w:shd w:val="clear" w:color="auto" w:fill="FFFFFF"/>
        <w:spacing w:after="264" w:line="240" w:lineRule="auto"/>
        <w:outlineLvl w:val="1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t> Una herramienta estratégica para el sector inmobiliario</w:t>
      </w:r>
    </w:p>
    <w:p w14:paraId="6E6F70D3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El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Mapa de riesgos del parque de viviendas en España 2024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es una herramienta esencial para:</w:t>
      </w:r>
    </w:p>
    <w:p w14:paraId="44484BEF" w14:textId="77777777" w:rsidR="00A03EA4" w:rsidRPr="00A03EA4" w:rsidRDefault="00A03EA4" w:rsidP="00A03E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Entidades financieras y aseguradoras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que necesitan evaluar el impacto de estos riesgos en sus carteras de activos.</w:t>
      </w:r>
    </w:p>
    <w:p w14:paraId="2495DE47" w14:textId="77777777" w:rsidR="00A03EA4" w:rsidRPr="00A03EA4" w:rsidRDefault="00A03EA4" w:rsidP="00A03E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Propietarios y compradores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que buscan información para tomar decisiones informadas sobre dónde vivir o invertir.</w:t>
      </w:r>
    </w:p>
    <w:p w14:paraId="247D0417" w14:textId="77777777" w:rsidR="00A03EA4" w:rsidRPr="00A03EA4" w:rsidRDefault="00A03EA4" w:rsidP="00A03E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Urbanistas y responsables públicos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, que deben planificar el crecimiento de las ciudades teniendo en cuenta estas vulnerabilidades.</w:t>
      </w:r>
    </w:p>
    <w:p w14:paraId="6B12A5F8" w14:textId="77777777" w:rsidR="00A03EA4" w:rsidRPr="00A03EA4" w:rsidRDefault="00A03EA4" w:rsidP="00A03EA4">
      <w:pPr>
        <w:shd w:val="clear" w:color="auto" w:fill="FFFFFF"/>
        <w:spacing w:before="240" w:after="240" w:line="240" w:lineRule="auto"/>
        <w:outlineLvl w:val="2"/>
        <w:rPr>
          <w:rFonts w:ascii="Sarabun" w:eastAsia="Times New Roman" w:hAnsi="Sarabun" w:cs="Times New Roman"/>
          <w:color w:val="333333"/>
          <w:kern w:val="0"/>
          <w:sz w:val="27"/>
          <w:szCs w:val="27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b/>
          <w:bCs/>
          <w:color w:val="333333"/>
          <w:kern w:val="0"/>
          <w:sz w:val="27"/>
          <w:szCs w:val="27"/>
          <w:lang w:eastAsia="es-ES"/>
          <w14:ligatures w14:val="none"/>
        </w:rPr>
        <w:lastRenderedPageBreak/>
        <w:t>Fenómenos climatológicos más virulentos muestran la necesidad de estos estudios</w:t>
      </w:r>
    </w:p>
    <w:p w14:paraId="4575FD1A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 xml:space="preserve">El informe de ST </w:t>
      </w:r>
      <w:proofErr w:type="spellStart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Analytics</w:t>
      </w:r>
      <w:proofErr w:type="spellEnd"/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 xml:space="preserve"> marca un antes y un después en el análisis de riesgos físicos en el sector inmobiliario español. Fenómenos como la reciente </w:t>
      </w:r>
      <w:r w:rsidRPr="00A03EA4">
        <w:rPr>
          <w:rFonts w:ascii="Sarabun" w:eastAsia="Times New Roman" w:hAnsi="Sarabun" w:cs="Times New Roman"/>
          <w:b/>
          <w:bCs/>
          <w:color w:val="686868"/>
          <w:kern w:val="0"/>
          <w:sz w:val="24"/>
          <w:szCs w:val="24"/>
          <w:lang w:eastAsia="es-ES"/>
          <w14:ligatures w14:val="none"/>
        </w:rPr>
        <w:t>DANA en Valencia</w:t>
      </w: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 refuerzan la necesidad de contar con datos precisos y herramientas que permitan anticiparse a las consecuencias de estos eventos, protegiendo tanto las inversiones como la calidad de vida de los ciudadanos.</w:t>
      </w:r>
    </w:p>
    <w:p w14:paraId="5A7B9866" w14:textId="77777777" w:rsidR="00A03EA4" w:rsidRPr="00A03EA4" w:rsidRDefault="00A03EA4" w:rsidP="00A03EA4">
      <w:pPr>
        <w:shd w:val="clear" w:color="auto" w:fill="FFFFFF"/>
        <w:spacing w:after="300" w:line="240" w:lineRule="auto"/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</w:pPr>
      <w:r w:rsidRPr="00A03EA4">
        <w:rPr>
          <w:rFonts w:ascii="Sarabun" w:eastAsia="Times New Roman" w:hAnsi="Sarabun" w:cs="Times New Roman"/>
          <w:color w:val="686868"/>
          <w:kern w:val="0"/>
          <w:sz w:val="24"/>
          <w:szCs w:val="24"/>
          <w:lang w:eastAsia="es-ES"/>
          <w14:ligatures w14:val="none"/>
        </w:rPr>
        <w:t>Este estudio no solo es un aporte invaluable para el conocimiento del mercado, sino también una guía para un desarrollo urbanístico más sostenible y resiliente.</w:t>
      </w:r>
    </w:p>
    <w:p w14:paraId="69C2743F" w14:textId="77777777" w:rsidR="00CE1A2A" w:rsidRDefault="00CE1A2A"/>
    <w:sectPr w:rsidR="00CE1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D239D"/>
    <w:multiLevelType w:val="multilevel"/>
    <w:tmpl w:val="D20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25412"/>
    <w:multiLevelType w:val="multilevel"/>
    <w:tmpl w:val="0910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92A1C"/>
    <w:multiLevelType w:val="multilevel"/>
    <w:tmpl w:val="648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8299E"/>
    <w:multiLevelType w:val="multilevel"/>
    <w:tmpl w:val="8562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316183">
    <w:abstractNumId w:val="0"/>
  </w:num>
  <w:num w:numId="2" w16cid:durableId="866867457">
    <w:abstractNumId w:val="2"/>
  </w:num>
  <w:num w:numId="3" w16cid:durableId="1912234252">
    <w:abstractNumId w:val="1"/>
  </w:num>
  <w:num w:numId="4" w16cid:durableId="134652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A4"/>
    <w:rsid w:val="00A03EA4"/>
    <w:rsid w:val="00A14B04"/>
    <w:rsid w:val="00C9112D"/>
    <w:rsid w:val="00CE1A2A"/>
    <w:rsid w:val="00E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48FB"/>
  <w15:chartTrackingRefBased/>
  <w15:docId w15:val="{A2C449E2-8E18-4712-A765-0E2C2922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010">
          <w:blockQuote w:val="1"/>
          <w:marLeft w:val="720"/>
          <w:marRight w:val="720"/>
          <w:marTop w:val="480"/>
          <w:marBottom w:val="480"/>
          <w:divBdr>
            <w:top w:val="none" w:sz="0" w:space="11" w:color="39B54A"/>
            <w:left w:val="single" w:sz="24" w:space="11" w:color="39B54A"/>
            <w:bottom w:val="none" w:sz="0" w:space="11" w:color="39B54A"/>
            <w:right w:val="none" w:sz="0" w:space="11" w:color="39B54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1</cp:revision>
  <dcterms:created xsi:type="dcterms:W3CDTF">2025-01-03T18:02:00Z</dcterms:created>
  <dcterms:modified xsi:type="dcterms:W3CDTF">2025-01-03T18:03:00Z</dcterms:modified>
</cp:coreProperties>
</file>